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（様式２）</w:t>
      </w:r>
    </w:p>
    <w:p>
      <w:pPr>
        <w:pStyle w:val="0"/>
        <w:jc w:val="left"/>
        <w:rPr>
          <w:rFonts w:hint="default" w:ascii="ＭＳ 明朝" w:hAnsi="ＭＳ 明朝" w:eastAsia="ＭＳ 明朝"/>
          <w:color w:val="000000" w:themeColor="text1"/>
          <w:sz w:val="16"/>
        </w:rPr>
      </w:pPr>
    </w:p>
    <w:p>
      <w:pPr>
        <w:pStyle w:val="0"/>
        <w:jc w:val="center"/>
        <w:rPr>
          <w:rFonts w:hint="default" w:ascii="ＭＳ 明朝" w:hAnsi="ＭＳ 明朝" w:eastAsia="ＭＳ 明朝"/>
          <w:b w:val="1"/>
          <w:color w:val="000000" w:themeColor="text1"/>
          <w:sz w:val="36"/>
        </w:rPr>
      </w:pPr>
      <w:r>
        <w:rPr>
          <w:rFonts w:hint="eastAsia" w:ascii="ＭＳ 明朝" w:hAnsi="ＭＳ 明朝" w:eastAsia="ＭＳ 明朝"/>
          <w:b w:val="1"/>
          <w:color w:val="000000" w:themeColor="text1"/>
          <w:sz w:val="36"/>
        </w:rPr>
        <w:t>誓　　約　　書</w:t>
      </w:r>
    </w:p>
    <w:p>
      <w:pPr>
        <w:pStyle w:val="0"/>
        <w:jc w:val="left"/>
        <w:rPr>
          <w:rFonts w:hint="default" w:ascii="ＭＳ 明朝" w:hAnsi="ＭＳ 明朝" w:eastAsia="ＭＳ 明朝"/>
          <w:color w:val="000000" w:themeColor="text1"/>
          <w:sz w:val="20"/>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jc w:val="left"/>
        <w:rPr>
          <w:rFonts w:hint="default" w:ascii="ＭＳ 明朝" w:hAnsi="ＭＳ 明朝" w:eastAsia="ＭＳ 明朝"/>
          <w:color w:val="000000" w:themeColor="text1"/>
          <w:sz w:val="20"/>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（あて先）　松江市長</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申　請　者　　　　　　　　　　　　　　</w:t>
      </w:r>
    </w:p>
    <w:p>
      <w:pPr>
        <w:pStyle w:val="0"/>
        <w:wordWrap w:val="0"/>
        <w:spacing w:line="276" w:lineRule="auto"/>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所在地　　　　　　　　　　　　　　　</w:t>
      </w:r>
    </w:p>
    <w:p>
      <w:pPr>
        <w:pStyle w:val="0"/>
        <w:wordWrap w:val="0"/>
        <w:spacing w:line="276" w:lineRule="auto"/>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商号又は名称　　　　　　　　　　　　</w:t>
      </w:r>
    </w:p>
    <w:p>
      <w:pPr>
        <w:pStyle w:val="0"/>
        <w:wordWrap w:val="0"/>
        <w:spacing w:line="276" w:lineRule="auto"/>
        <w:jc w:val="righ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代表者　　　　　　　　　　　　　　印</w:t>
      </w:r>
    </w:p>
    <w:p>
      <w:pPr>
        <w:pStyle w:val="0"/>
        <w:spacing w:line="276" w:lineRule="auto"/>
        <w:jc w:val="left"/>
        <w:rPr>
          <w:rFonts w:hint="default" w:ascii="ＭＳ 明朝" w:hAnsi="ＭＳ 明朝" w:eastAsia="ＭＳ 明朝"/>
          <w:color w:val="000000" w:themeColor="text1"/>
        </w:rPr>
      </w:pPr>
    </w:p>
    <w:p>
      <w:pPr>
        <w:pStyle w:val="0"/>
        <w:spacing w:line="276" w:lineRule="auto"/>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　松江市空き家対策包括業務</w:t>
      </w:r>
      <w:r>
        <w:rPr>
          <w:rFonts w:hint="eastAsia" w:ascii="ＭＳ 明朝" w:hAnsi="ＭＳ 明朝" w:eastAsia="ＭＳ 明朝"/>
          <w:color w:val="000000" w:themeColor="text1"/>
          <w:sz w:val="20"/>
        </w:rPr>
        <w:t>委託プロポーザルの参加にあたり、下記の事項及び提出書類の内容について事実に相違ないことを誓約します。</w:t>
      </w:r>
    </w:p>
    <w:p>
      <w:pPr>
        <w:pStyle w:val="0"/>
        <w:spacing w:line="276" w:lineRule="auto"/>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後日誓約した内容に違反する事実が判明した場合、もしくは応募受付後、審査・選定までの間に誓約した内容に違反した場合は、無効又は失格とされても異議を申し立てません。</w:t>
      </w:r>
    </w:p>
    <w:p>
      <w:pPr>
        <w:pStyle w:val="0"/>
        <w:spacing w:line="276" w:lineRule="auto"/>
        <w:jc w:val="left"/>
        <w:rPr>
          <w:rFonts w:hint="default" w:ascii="ＭＳ 明朝" w:hAnsi="ＭＳ 明朝" w:eastAsia="ＭＳ 明朝"/>
          <w:color w:val="000000" w:themeColor="text1"/>
          <w:sz w:val="18"/>
        </w:rPr>
      </w:pPr>
    </w:p>
    <w:p>
      <w:pPr>
        <w:pStyle w:val="18"/>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記</w:t>
      </w:r>
    </w:p>
    <w:p>
      <w:pPr>
        <w:pStyle w:val="0"/>
        <w:rPr>
          <w:rFonts w:hint="default" w:ascii="ＭＳ 明朝" w:hAnsi="ＭＳ 明朝" w:eastAsia="ＭＳ 明朝"/>
          <w:color w:val="000000" w:themeColor="text1"/>
          <w:sz w:val="18"/>
        </w:rPr>
      </w:pP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単独企業による参加であること。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地方自治法施行令（昭和</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年政令第</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167</w:t>
      </w:r>
      <w:r>
        <w:rPr>
          <w:rFonts w:hint="eastAsia" w:ascii="ＭＳ 明朝" w:hAnsi="ＭＳ 明朝" w:eastAsia="ＭＳ 明朝"/>
          <w:color w:val="000000" w:themeColor="text1"/>
        </w:rPr>
        <w:t>条の</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第</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項の規定に該当しないこと。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本市において、指名競争入札に関する指名を停止されていないこと。また、指名の停止を受けたが、すでにその停止期間を経過していること。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令和</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年度の松江市入札参加資格者名簿（測量・建設コンサル）の業種「建築関係建設コンサルタント（その他調査）」に登録され、令和</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年度の業者登録申請済みの者であり、かつ松江市内に本社を有する者であること。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会社更生法（平成</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154</w:t>
      </w:r>
      <w:r>
        <w:rPr>
          <w:rFonts w:hint="eastAsia" w:ascii="ＭＳ 明朝" w:hAnsi="ＭＳ 明朝" w:eastAsia="ＭＳ 明朝"/>
          <w:color w:val="000000" w:themeColor="text1"/>
        </w:rPr>
        <w:t>号）に基づき更生手続開始の申立て又は民事再生法（平成</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225</w:t>
      </w:r>
      <w:r>
        <w:rPr>
          <w:rFonts w:hint="eastAsia" w:ascii="ＭＳ 明朝" w:hAnsi="ＭＳ 明朝" w:eastAsia="ＭＳ 明朝"/>
          <w:color w:val="000000" w:themeColor="text1"/>
        </w:rPr>
        <w:t>号）に基づく再生手続開始の申立がなされていないこと。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会社法（平成</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86</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475</w:t>
      </w:r>
      <w:r>
        <w:rPr>
          <w:rFonts w:hint="eastAsia" w:ascii="ＭＳ 明朝" w:hAnsi="ＭＳ 明朝" w:eastAsia="ＭＳ 明朝"/>
          <w:color w:val="000000" w:themeColor="text1"/>
        </w:rPr>
        <w:t>条若しくは第</w:t>
      </w:r>
      <w:r>
        <w:rPr>
          <w:rFonts w:hint="eastAsia" w:ascii="ＭＳ 明朝" w:hAnsi="ＭＳ 明朝" w:eastAsia="ＭＳ 明朝"/>
          <w:color w:val="000000" w:themeColor="text1"/>
        </w:rPr>
        <w:t>644</w:t>
      </w:r>
      <w:r>
        <w:rPr>
          <w:rFonts w:hint="eastAsia" w:ascii="ＭＳ 明朝" w:hAnsi="ＭＳ 明朝" w:eastAsia="ＭＳ 明朝"/>
          <w:color w:val="000000" w:themeColor="text1"/>
        </w:rPr>
        <w:t>条の規定に基づく清算の開始、又は破産法（平成</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75</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条若しくは第</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条の規定に基づく破産手続開始の申立がなされていないこと。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暴力団員による不当な行為の防止等に関する法律（平成</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77</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条第</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号に規定する暴力団又は同条第</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号に規定する暴力団員が経営に関与していないこと。</w:t>
      </w:r>
    </w:p>
    <w:p>
      <w:pPr>
        <w:pStyle w:val="28"/>
        <w:numPr>
          <w:ilvl w:val="1"/>
          <w:numId w:val="1"/>
        </w:numPr>
        <w:ind w:left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所得税又は法人税、法人市民税、固定資産税、法人事業税、消費税及び地方消費税のほか、義務付けられている租税公課を滞納していないこと。</w:t>
      </w:r>
    </w:p>
    <w:p>
      <w:pPr>
        <w:pStyle w:val="0"/>
        <w:rPr>
          <w:rFonts w:hint="default" w:ascii="ＭＳ 明朝" w:hAnsi="ＭＳ 明朝" w:eastAsia="ＭＳ 明朝"/>
          <w:color w:val="000000" w:themeColor="text1"/>
        </w:rPr>
      </w:pPr>
      <w:bookmarkStart w:id="0" w:name="_GoBack"/>
      <w:bookmarkEnd w:id="0"/>
    </w:p>
    <w:sectPr>
      <w:footerReference r:id="rId6" w:type="default"/>
      <w:pgSz w:w="11906" w:h="16838"/>
      <w:pgMar w:top="851" w:right="1080" w:bottom="1418" w:left="1080" w:header="851" w:footer="536"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7826337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8CE8C6E"/>
    <w:lvl w:ilvl="0">
      <w:start w:val="1"/>
      <w:numFmt w:val="decimal"/>
      <w:lvlText w:val="%1"/>
      <w:lvlJc w:val="left"/>
      <w:pPr>
        <w:ind w:left="284" w:hanging="284"/>
      </w:pPr>
      <w:rPr>
        <w:rFonts w:hint="eastAsia" w:ascii="游ゴシック" w:hAnsi="游ゴシック" w:eastAsia="游ゴシック"/>
        <w:b w:val="1"/>
      </w:rPr>
    </w:lvl>
    <w:lvl w:ilvl="1">
      <w:start w:val="1"/>
      <w:numFmt w:val="decimal"/>
      <w:lvlText w:val="(%2)"/>
      <w:lvlJc w:val="left"/>
      <w:pPr>
        <w:ind w:left="454" w:hanging="341"/>
      </w:pPr>
      <w:rPr>
        <w:rFonts w:hint="eastAsia" w:eastAsia="ＭＳ 明朝"/>
        <w:b w:val="1"/>
      </w:rPr>
    </w:lvl>
    <w:lvl w:ilvl="2">
      <w:start w:val="1"/>
      <w:numFmt w:val="decimalEnclosedCircle"/>
      <w:lvlText w:val="%3"/>
      <w:lvlJc w:val="left"/>
      <w:pPr>
        <w:ind w:left="567" w:hanging="283"/>
      </w:pPr>
      <w:rPr>
        <w:rFonts w:hint="eastAsia"/>
        <w:b w:val="0"/>
      </w:rPr>
    </w:lvl>
    <w:lvl w:ilvl="3">
      <w:numFmt w:val="bullet"/>
      <w:lvlText w:val=""/>
      <w:lvlJc w:val="left"/>
      <w:pPr>
        <w:ind w:left="680" w:hanging="113"/>
      </w:pPr>
      <w:rPr>
        <w:rFonts w:hint="default" w:ascii="Wingdings" w:hAnsi="Wingdings"/>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num w:numId="1">
    <w:abstractNumId w:val="0"/>
    <w:lvlOverride w:ilvl="0">
      <w:lvl w:ilvl="0">
        <w:start w:val="1"/>
        <w:numFmt w:val="decimal"/>
        <w:lvlText w:val="%1"/>
        <w:lvlJc w:val="left"/>
        <w:pPr>
          <w:ind w:left="284" w:hanging="284"/>
        </w:pPr>
        <w:rPr>
          <w:rFonts w:hint="eastAsia" w:ascii="游ゴシック" w:hAnsi="游ゴシック" w:eastAsia="游ゴシック"/>
          <w:b w:val="1"/>
        </w:rPr>
      </w:lvl>
    </w:lvlOverride>
    <w:lvlOverride w:ilvl="1">
      <w:lvl w:ilvl="1">
        <w:start w:val="1"/>
        <w:numFmt w:val="decimal"/>
        <w:lvlText w:val="(%2)"/>
        <w:lvlJc w:val="left"/>
        <w:pPr>
          <w:ind w:left="567" w:hanging="454"/>
        </w:pPr>
        <w:rPr>
          <w:rFonts w:hint="eastAsia" w:eastAsia="ＭＳ 明朝" w:asciiTheme="minorHAnsi" w:hAnsiTheme="minorHAnsi"/>
          <w:b w:val="0"/>
        </w:rPr>
      </w:lvl>
    </w:lvlOverride>
    <w:lvlOverride w:ilvl="2">
      <w:lvl w:ilvl="2">
        <w:start w:val="1"/>
        <w:numFmt w:val="decimalEnclosedCircle"/>
        <w:lvlText w:val="%3"/>
        <w:lvlJc w:val="left"/>
        <w:pPr>
          <w:ind w:left="567" w:hanging="283"/>
        </w:pPr>
        <w:rPr>
          <w:rFonts w:hint="eastAsia"/>
          <w:b w:val="0"/>
        </w:rPr>
      </w:lvl>
    </w:lvlOverride>
    <w:lvlOverride w:ilvl="3">
      <w:lvl w:ilvl="3">
        <w:numFmt w:val="bullet"/>
        <w:lvlText w:val=""/>
        <w:lvlJc w:val="left"/>
        <w:pPr>
          <w:ind w:left="680" w:hanging="113"/>
        </w:pPr>
        <w:rPr>
          <w:rFonts w:hint="default" w:ascii="Wingdings" w:hAnsi="Wingdings"/>
        </w:rPr>
      </w:lvl>
    </w:lvlOverride>
    <w:lvlOverride w:ilvl="4">
      <w:lvl w:ilvl="4">
        <w:start w:val="1"/>
        <w:numFmt w:val="aiueoFullWidth"/>
        <w:lvlText w:val="(%5)"/>
        <w:lvlJc w:val="left"/>
        <w:pPr>
          <w:ind w:left="2310" w:hanging="420"/>
        </w:pPr>
        <w:rPr>
          <w:rFonts w:hint="eastAsia"/>
        </w:rPr>
      </w:lvl>
    </w:lvlOverride>
    <w:lvlOverride w:ilvl="5">
      <w:lvl w:ilvl="5">
        <w:start w:val="1"/>
        <w:numFmt w:val="decimalEnclosedCircle"/>
        <w:lvlText w:val="%6"/>
        <w:lvlJc w:val="left"/>
        <w:pPr>
          <w:ind w:left="2730" w:hanging="420"/>
        </w:pPr>
        <w:rPr>
          <w:rFonts w:hint="eastAsia"/>
        </w:rPr>
      </w:lvl>
    </w:lvlOverride>
    <w:lvlOverride w:ilvl="6">
      <w:lvl w:ilvl="6">
        <w:start w:val="1"/>
        <w:numFmt w:val="decimal"/>
        <w:lvlText w:val="%7."/>
        <w:lvlJc w:val="left"/>
        <w:pPr>
          <w:ind w:left="3150" w:hanging="420"/>
        </w:pPr>
        <w:rPr>
          <w:rFonts w:hint="eastAsia"/>
        </w:rPr>
      </w:lvl>
    </w:lvlOverride>
    <w:lvlOverride w:ilvl="7">
      <w:lvl w:ilvl="7">
        <w:start w:val="1"/>
        <w:numFmt w:val="aiueoFullWidth"/>
        <w:lvlText w:val="(%8)"/>
        <w:lvlJc w:val="left"/>
        <w:pPr>
          <w:ind w:left="3570" w:hanging="420"/>
        </w:pPr>
        <w:rPr>
          <w:rFonts w:hint="eastAsia"/>
        </w:rPr>
      </w:lvl>
    </w:lvlOverride>
    <w:lvlOverride w:ilvl="8">
      <w:lvl w:ilvl="8">
        <w:start w:val="1"/>
        <w:numFmt w:val="decimalEnclosedCircle"/>
        <w:lvlText w:val="%9"/>
        <w:lvlJc w:val="left"/>
        <w:pPr>
          <w:ind w:left="3990" w:hanging="420"/>
        </w:pPr>
        <w:rPr>
          <w:rFonts w:hint="eastAsia"/>
        </w:rPr>
      </w:lvl>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563C1" w:themeColor="hyperlink"/>
      <w:u w:val="single" w:color="auto"/>
    </w:rPr>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List Paragraph"/>
    <w:basedOn w:val="0"/>
    <w:next w:val="28"/>
    <w:link w:val="0"/>
    <w:uiPriority w:val="0"/>
    <w:qFormat/>
    <w:pPr>
      <w:ind w:left="840" w:leftChars="400"/>
    </w:pPr>
  </w:style>
  <w:style w:type="paragraph" w:styleId="29">
    <w:name w:val="Body Text"/>
    <w:basedOn w:val="0"/>
    <w:next w:val="29"/>
    <w:link w:val="30"/>
    <w:uiPriority w:val="0"/>
    <w:qFormat/>
    <w:pPr>
      <w:overflowPunct w:val="0"/>
      <w:adjustRightInd w:val="0"/>
      <w:ind w:firstLine="211" w:firstLineChars="100"/>
      <w:textAlignment w:val="baseline"/>
    </w:pPr>
    <w:rPr>
      <w:rFonts w:ascii="ＭＳ 明朝" w:hAnsi="ＭＳ 明朝" w:eastAsia="ＭＳ 明朝"/>
      <w:kern w:val="0"/>
    </w:rPr>
  </w:style>
  <w:style w:type="character" w:styleId="30" w:customStyle="1">
    <w:name w:val="本文 (文字)"/>
    <w:basedOn w:val="10"/>
    <w:next w:val="30"/>
    <w:link w:val="29"/>
    <w:uiPriority w:val="0"/>
    <w:rPr>
      <w:rFonts w:ascii="ＭＳ 明朝" w:hAnsi="ＭＳ 明朝" w:eastAsia="ＭＳ 明朝"/>
      <w:kern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10</Pages>
  <Words>39</Words>
  <Characters>2165</Characters>
  <Application>JUST Note</Application>
  <Lines>1200</Lines>
  <Paragraphs>146</Paragraphs>
  <CharactersWithSpaces>2637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耕太郎</dc:creator>
  <cp:lastModifiedBy>門脇　鷹也</cp:lastModifiedBy>
  <cp:lastPrinted>2025-03-21T06:18:44Z</cp:lastPrinted>
  <dcterms:created xsi:type="dcterms:W3CDTF">2024-10-16T10:07:00Z</dcterms:created>
  <dcterms:modified xsi:type="dcterms:W3CDTF">2025-03-21T07:30:19Z</dcterms:modified>
  <cp:revision>29</cp:revision>
</cp:coreProperties>
</file>