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UD デジタル 教科書体 NP-R" w:hAnsi="UD デジタル 教科書体 NP-R" w:eastAsia="UD デジタル 教科書体 NP-R"/>
          <w:bdr w:val="single" w:color="auto" w:sz="4" w:space="0"/>
        </w:rPr>
      </w:pPr>
      <w:r>
        <w:rPr>
          <w:rFonts w:hint="eastAsia" w:ascii="UD デジタル 教科書体 NP-R" w:hAnsi="UD デジタル 教科書体 NP-R" w:eastAsia="UD デジタル 教科書体 NP-R"/>
        </w:rPr>
        <w:t>（様式３）</w:t>
      </w:r>
    </w:p>
    <w:p>
      <w:pPr>
        <w:pStyle w:val="0"/>
        <w:jc w:val="right"/>
        <w:rPr>
          <w:rFonts w:hint="default" w:ascii="UD デジタル 教科書体 NP-R" w:hAnsi="UD デジタル 教科書体 NP-R" w:eastAsia="UD デジタル 教科書体 NP-R"/>
          <w:bdr w:val="single" w:color="auto" w:sz="4" w:space="0"/>
        </w:rPr>
      </w:pPr>
    </w:p>
    <w:p>
      <w:pPr>
        <w:pStyle w:val="0"/>
        <w:spacing w:before="240" w:beforeLines="0" w:beforeAutospacing="0" w:after="120" w:afterLines="0" w:afterAutospacing="0"/>
        <w:jc w:val="center"/>
        <w:outlineLvl w:val="0"/>
        <w:rPr>
          <w:rFonts w:hint="default" w:ascii="UD デジタル 教科書体 NP-R" w:hAnsi="UD デジタル 教科書体 NP-R" w:eastAsia="UD デジタル 教科書体 NP-R"/>
          <w:sz w:val="32"/>
        </w:rPr>
      </w:pPr>
      <w:r>
        <w:rPr>
          <w:rFonts w:hint="eastAsia" w:ascii="UD デジタル 教科書体 NP-R" w:hAnsi="UD デジタル 教科書体 NP-R" w:eastAsia="UD デジタル 教科書体 NP-R"/>
          <w:sz w:val="32"/>
        </w:rPr>
        <w:t>誓　　約　　書</w:t>
      </w:r>
    </w:p>
    <w:p>
      <w:pPr>
        <w:pStyle w:val="0"/>
        <w:autoSpaceDE w:val="0"/>
        <w:autoSpaceDN w:val="0"/>
        <w:rPr>
          <w:rFonts w:hint="default" w:ascii="UD デジタル 教科書体 NP-R" w:hAnsi="UD デジタル 教科書体 NP-R" w:eastAsia="UD デジタル 教科書体 NP-R"/>
          <w:sz w:val="22"/>
        </w:rPr>
      </w:pPr>
    </w:p>
    <w:p>
      <w:pPr>
        <w:pStyle w:val="0"/>
        <w:autoSpaceDE w:val="0"/>
        <w:autoSpaceDN w:val="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令和　年　月　日</w:t>
      </w:r>
    </w:p>
    <w:p>
      <w:pPr>
        <w:pStyle w:val="0"/>
        <w:autoSpaceDE w:val="0"/>
        <w:autoSpaceDN w:val="0"/>
        <w:rPr>
          <w:rFonts w:hint="default" w:ascii="UD デジタル 教科書体 NP-R" w:hAnsi="UD デジタル 教科書体 NP-R" w:eastAsia="UD デジタル 教科書体 NP-R"/>
          <w:sz w:val="22"/>
        </w:rPr>
      </w:pPr>
    </w:p>
    <w:p>
      <w:pPr>
        <w:pStyle w:val="0"/>
        <w:autoSpaceDE w:val="0"/>
        <w:autoSpaceDN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（あて先）松江市長</w:t>
      </w:r>
    </w:p>
    <w:p>
      <w:pPr>
        <w:pStyle w:val="0"/>
        <w:autoSpaceDE w:val="0"/>
        <w:autoSpaceDN w:val="0"/>
        <w:ind w:firstLine="3740" w:firstLineChars="17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申　込　者</w:t>
      </w:r>
    </w:p>
    <w:p>
      <w:pPr>
        <w:pStyle w:val="0"/>
        <w:autoSpaceDE w:val="0"/>
        <w:autoSpaceDN w:val="0"/>
        <w:ind w:firstLine="4180" w:firstLineChars="19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所在地　　　　　　　　　　　　　　　　</w:t>
      </w:r>
    </w:p>
    <w:p>
      <w:pPr>
        <w:pStyle w:val="0"/>
        <w:autoSpaceDE w:val="0"/>
        <w:autoSpaceDN w:val="0"/>
        <w:ind w:firstLine="4180" w:firstLineChars="19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名　称　　　　　　　　　　　　　　　　</w:t>
      </w:r>
    </w:p>
    <w:p>
      <w:pPr>
        <w:pStyle w:val="0"/>
        <w:autoSpaceDE w:val="0"/>
        <w:autoSpaceDN w:val="0"/>
        <w:ind w:firstLine="4180" w:firstLineChars="1900"/>
        <w:rPr>
          <w:rFonts w:hint="default" w:ascii="UD デジタル 教科書体 NP-R" w:hAnsi="UD デジタル 教科書体 NP-R" w:eastAsia="UD デジタル 教科書体 NP-R"/>
          <w:sz w:val="22"/>
          <w:u w:val="single" w:color="auto"/>
        </w:rPr>
      </w:pPr>
      <w:r>
        <w:rPr>
          <w:rFonts w:hint="eastAsia" w:ascii="UD デジタル 教科書体 NP-R" w:hAnsi="UD デジタル 教科書体 NP-R" w:eastAsia="UD デジタル 教科書体 NP-R"/>
          <w:sz w:val="22"/>
        </w:rPr>
        <w:t>代表者　　　　　　　　　　　　　　　印</w:t>
      </w:r>
    </w:p>
    <w:p>
      <w:pPr>
        <w:pStyle w:val="0"/>
        <w:autoSpaceDE w:val="0"/>
        <w:autoSpaceDN w:val="0"/>
        <w:rPr>
          <w:rFonts w:hint="default" w:ascii="UD デジタル 教科書体 NP-R" w:hAnsi="UD デジタル 教科書体 NP-R" w:eastAsia="UD デジタル 教科書体 NP-R"/>
          <w:sz w:val="22"/>
        </w:rPr>
      </w:pPr>
    </w:p>
    <w:p>
      <w:pPr>
        <w:pStyle w:val="0"/>
        <w:autoSpaceDE w:val="0"/>
        <w:autoSpaceDN w:val="0"/>
        <w:adjustRightInd w:val="0"/>
        <w:ind w:firstLine="220"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22"/>
        </w:rPr>
        <w:t>「松江市宿泊税制度周知業務委託」</w:t>
      </w:r>
      <w:r>
        <w:rPr>
          <w:rFonts w:hint="eastAsia" w:ascii="UD デジタル 教科書体 NP-R" w:hAnsi="UD デジタル 教科書体 NP-R" w:eastAsia="UD デジタル 教科書体 NP-R"/>
        </w:rPr>
        <w:t>公募型プロポーザルへの参加</w:t>
      </w:r>
      <w:r>
        <w:rPr>
          <w:rFonts w:hint="eastAsia" w:ascii="UD デジタル 教科書体 NP-R" w:hAnsi="UD デジタル 教科書体 NP-R" w:eastAsia="UD デジタル 教科書体 NP-R"/>
          <w:kern w:val="0"/>
        </w:rPr>
        <w:t>に当たり、下記の事項及び提出書類の内容について事実に相違ないことを誓約します。</w:t>
      </w:r>
    </w:p>
    <w:p>
      <w:pPr>
        <w:pStyle w:val="0"/>
        <w:autoSpaceDE w:val="0"/>
        <w:autoSpaceDN w:val="0"/>
        <w:adjustRightInd w:val="0"/>
        <w:ind w:firstLine="210"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後日誓約した内容に違反する事実が判明した場合、もしくは応募受付後、審査・選定までの間に誓約した内容に違反した場合は、無効又は失格とされても異議を申し立てません。</w:t>
      </w:r>
    </w:p>
    <w:p>
      <w:pPr>
        <w:pStyle w:val="0"/>
        <w:autoSpaceDE w:val="0"/>
        <w:autoSpaceDN w:val="0"/>
        <w:adjustRightInd w:val="0"/>
        <w:ind w:firstLine="210" w:firstLineChars="100"/>
        <w:rPr>
          <w:rFonts w:hint="default" w:ascii="UD デジタル 教科書体 NP-R" w:hAnsi="UD デジタル 教科書体 NP-R" w:eastAsia="UD デジタル 教科書体 NP-R"/>
        </w:rPr>
      </w:pPr>
    </w:p>
    <w:p>
      <w:pPr>
        <w:pStyle w:val="20"/>
        <w:rPr>
          <w:rFonts w:hint="default"/>
        </w:rPr>
      </w:pPr>
      <w:r>
        <w:rPr>
          <w:rFonts w:hint="eastAsia"/>
        </w:rPr>
        <w:t>記</w:t>
      </w:r>
    </w:p>
    <w:p>
      <w:pPr>
        <w:pStyle w:val="0"/>
        <w:rPr>
          <w:rFonts w:hint="default"/>
        </w:rPr>
      </w:pPr>
    </w:p>
    <w:p>
      <w:pPr>
        <w:pStyle w:val="22"/>
        <w:ind w:left="630" w:hanging="630" w:hangingChars="300"/>
        <w:jc w:val="left"/>
        <w:rPr>
          <w:rFonts w:hint="eastAsia"/>
        </w:rPr>
      </w:pPr>
      <w:r>
        <w:rPr>
          <w:rFonts w:hint="eastAsia"/>
        </w:rPr>
        <w:t>（１）令和</w:t>
      </w:r>
      <w:r>
        <w:rPr>
          <w:rFonts w:hint="eastAsia"/>
        </w:rPr>
        <w:t>4</w:t>
      </w:r>
      <w:r>
        <w:rPr>
          <w:rFonts w:hint="eastAsia"/>
        </w:rPr>
        <w:t>・</w:t>
      </w:r>
      <w:r>
        <w:rPr>
          <w:rFonts w:hint="eastAsia"/>
        </w:rPr>
        <w:t>5</w:t>
      </w:r>
      <w:r>
        <w:rPr>
          <w:rFonts w:hint="eastAsia"/>
        </w:rPr>
        <w:t>・</w:t>
      </w:r>
      <w:r>
        <w:rPr>
          <w:rFonts w:hint="eastAsia"/>
        </w:rPr>
        <w:t>6</w:t>
      </w:r>
      <w:r>
        <w:rPr>
          <w:rFonts w:hint="eastAsia"/>
        </w:rPr>
        <w:t>年度松江市競争入札参加資格（物品、業種：「企画・製作」）を有しており、令和</w:t>
      </w:r>
      <w:r>
        <w:rPr>
          <w:rFonts w:hint="eastAsia"/>
        </w:rPr>
        <w:t>7</w:t>
      </w:r>
      <w:r>
        <w:rPr>
          <w:rFonts w:hint="eastAsia"/>
        </w:rPr>
        <w:t>・</w:t>
      </w:r>
      <w:r>
        <w:rPr>
          <w:rFonts w:hint="eastAsia"/>
        </w:rPr>
        <w:t>8</w:t>
      </w:r>
      <w:r>
        <w:rPr>
          <w:rFonts w:hint="eastAsia"/>
        </w:rPr>
        <w:t>・</w:t>
      </w:r>
      <w:r>
        <w:rPr>
          <w:rFonts w:hint="eastAsia"/>
        </w:rPr>
        <w:t>9</w:t>
      </w:r>
      <w:r>
        <w:rPr>
          <w:rFonts w:hint="eastAsia"/>
        </w:rPr>
        <w:t>年度の資格申請済みであること。</w:t>
      </w:r>
    </w:p>
    <w:p>
      <w:pPr>
        <w:pStyle w:val="22"/>
        <w:ind w:left="630" w:hanging="630" w:hangingChars="300"/>
        <w:jc w:val="left"/>
        <w:rPr>
          <w:rFonts w:hint="eastAsia"/>
        </w:rPr>
      </w:pPr>
      <w:r>
        <w:rPr>
          <w:rFonts w:hint="eastAsia"/>
        </w:rPr>
        <w:t>（２）松江市による指名停止を受けて</w:t>
      </w:r>
      <w:bookmarkStart w:id="0" w:name="_GoBack"/>
      <w:bookmarkEnd w:id="0"/>
      <w:r>
        <w:rPr>
          <w:rFonts w:hint="eastAsia"/>
        </w:rPr>
        <w:t>いないこと。</w:t>
      </w:r>
    </w:p>
    <w:p>
      <w:pPr>
        <w:pStyle w:val="22"/>
        <w:ind w:left="630" w:hanging="630" w:hangingChars="300"/>
        <w:jc w:val="left"/>
        <w:rPr>
          <w:rFonts w:hint="eastAsia"/>
        </w:rPr>
      </w:pPr>
      <w:r>
        <w:rPr>
          <w:rFonts w:hint="eastAsia"/>
        </w:rPr>
        <w:t>（３）民事再生法（平成</w:t>
      </w:r>
      <w:r>
        <w:rPr>
          <w:rFonts w:hint="eastAsia"/>
        </w:rPr>
        <w:t>11</w:t>
      </w:r>
      <w:r>
        <w:rPr>
          <w:rFonts w:hint="eastAsia"/>
        </w:rPr>
        <w:t>年法律第</w:t>
      </w:r>
      <w:r>
        <w:rPr>
          <w:rFonts w:hint="eastAsia"/>
        </w:rPr>
        <w:t>225</w:t>
      </w:r>
      <w:r>
        <w:rPr>
          <w:rFonts w:hint="eastAsia"/>
        </w:rPr>
        <w:t>号）に基づく再生開始手続き開始の申立てをした者にあっては再生計画の認可がされていない者又は会社更生法（平成</w:t>
      </w:r>
      <w:r>
        <w:rPr>
          <w:rFonts w:hint="eastAsia"/>
        </w:rPr>
        <w:t>14</w:t>
      </w:r>
      <w:r>
        <w:rPr>
          <w:rFonts w:hint="eastAsia"/>
        </w:rPr>
        <w:t>年法律第</w:t>
      </w:r>
      <w:r>
        <w:rPr>
          <w:rFonts w:hint="eastAsia"/>
        </w:rPr>
        <w:t>154</w:t>
      </w:r>
      <w:r>
        <w:rPr>
          <w:rFonts w:hint="eastAsia"/>
        </w:rPr>
        <w:t>号）に基づく更生手続き開始の申立てを行った者にあっては更生計画の認可がされていない者でないこと。</w:t>
      </w:r>
    </w:p>
    <w:p>
      <w:pPr>
        <w:pStyle w:val="22"/>
        <w:ind w:left="630" w:hanging="630" w:hangingChars="300"/>
        <w:jc w:val="left"/>
        <w:rPr>
          <w:rFonts w:hint="eastAsia"/>
        </w:rPr>
      </w:pPr>
      <w:r>
        <w:rPr>
          <w:rFonts w:hint="eastAsia"/>
        </w:rPr>
        <w:t>（４）地方自治法施行令（昭和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第</w:t>
      </w:r>
      <w:r>
        <w:rPr>
          <w:rFonts w:hint="eastAsia"/>
        </w:rPr>
        <w:t>1</w:t>
      </w:r>
      <w:r>
        <w:rPr>
          <w:rFonts w:hint="eastAsia"/>
        </w:rPr>
        <w:t>項の規定に該当しないこと。</w:t>
      </w:r>
    </w:p>
    <w:p>
      <w:pPr>
        <w:pStyle w:val="22"/>
        <w:ind w:left="630" w:hanging="630" w:hangingChars="300"/>
        <w:jc w:val="left"/>
        <w:rPr>
          <w:rFonts w:hint="eastAsia"/>
        </w:rPr>
      </w:pPr>
      <w:r>
        <w:rPr>
          <w:rFonts w:hint="eastAsia"/>
        </w:rPr>
        <w:t>（５）暴力団員による不当な行為の防止等に関する法律（平成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号に規定する暴力団又は第</w:t>
      </w:r>
      <w:r>
        <w:rPr>
          <w:rFonts w:hint="eastAsia"/>
        </w:rPr>
        <w:t>2</w:t>
      </w:r>
      <w:r>
        <w:rPr>
          <w:rFonts w:hint="eastAsia"/>
        </w:rPr>
        <w:t>条第</w:t>
      </w:r>
      <w:r>
        <w:rPr>
          <w:rFonts w:hint="eastAsia"/>
        </w:rPr>
        <w:t>6</w:t>
      </w:r>
      <w:r>
        <w:rPr>
          <w:rFonts w:hint="eastAsia"/>
        </w:rPr>
        <w:t>号に規定する暴力団員が経営に関与していないこと。</w:t>
      </w:r>
    </w:p>
    <w:p>
      <w:pPr>
        <w:pStyle w:val="22"/>
        <w:ind w:left="630" w:hanging="630" w:hangingChars="300"/>
        <w:jc w:val="left"/>
        <w:rPr>
          <w:rFonts w:hint="default"/>
        </w:rPr>
      </w:pPr>
      <w:r>
        <w:rPr>
          <w:rFonts w:hint="eastAsia"/>
        </w:rPr>
        <w:t>（６）所得税、法人税、法人市民税、固定資産税、法人事業税、消費税及び地方消費税のほか、義務づけられている租税公課を滞納していないこと。</w:t>
      </w:r>
    </w:p>
    <w:p>
      <w:pPr>
        <w:pStyle w:val="0"/>
        <w:autoSpaceDE w:val="0"/>
        <w:autoSpaceDN w:val="0"/>
        <w:ind w:left="420" w:leftChars="100" w:hanging="210" w:hangingChars="100"/>
        <w:jc w:val="right"/>
        <w:rPr>
          <w:rFonts w:hint="default"/>
        </w:rPr>
      </w:pPr>
      <w:r>
        <w:rPr>
          <w:rFonts w:hint="eastAsia" w:ascii="UD デジタル 教科書体 NK-R" w:hAnsi="UD デジタル 教科書体 NK-R" w:eastAsia="UD デジタル 教科書体 NK-R"/>
        </w:rPr>
        <w:t>以　　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te Heading"/>
    <w:basedOn w:val="0"/>
    <w:next w:val="0"/>
    <w:link w:val="21"/>
    <w:uiPriority w:val="0"/>
    <w:pPr>
      <w:jc w:val="center"/>
    </w:pPr>
    <w:rPr>
      <w:rFonts w:ascii="UD デジタル 教科書体 NP-R" w:hAnsi="UD デジタル 教科書体 NP-R" w:eastAsia="UD デジタル 教科書体 NP-R"/>
    </w:rPr>
  </w:style>
  <w:style w:type="character" w:styleId="21" w:customStyle="1">
    <w:name w:val="記 (文字)"/>
    <w:basedOn w:val="10"/>
    <w:next w:val="21"/>
    <w:link w:val="20"/>
    <w:uiPriority w:val="0"/>
    <w:rPr>
      <w:rFonts w:ascii="UD デジタル 教科書体 NP-R" w:hAnsi="UD デジタル 教科書体 NP-R" w:eastAsia="UD デジタル 教科書体 NP-R"/>
    </w:rPr>
  </w:style>
  <w:style w:type="paragraph" w:styleId="22">
    <w:name w:val="Closing"/>
    <w:basedOn w:val="0"/>
    <w:next w:val="22"/>
    <w:link w:val="23"/>
    <w:uiPriority w:val="0"/>
    <w:pPr>
      <w:jc w:val="right"/>
    </w:pPr>
    <w:rPr>
      <w:rFonts w:ascii="UD デジタル 教科書体 NP-R" w:hAnsi="UD デジタル 教科書体 NP-R" w:eastAsia="UD デジタル 教科書体 NP-R"/>
    </w:rPr>
  </w:style>
  <w:style w:type="character" w:styleId="23" w:customStyle="1">
    <w:name w:val="結語 (文字)"/>
    <w:basedOn w:val="10"/>
    <w:next w:val="23"/>
    <w:link w:val="22"/>
    <w:uiPriority w:val="0"/>
    <w:rPr>
      <w:rFonts w:ascii="UD デジタル 教科書体 NP-R" w:hAnsi="UD デジタル 教科書体 NP-R" w:eastAsia="UD デジタル 教科書体 NP-R"/>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18</Words>
  <Characters>580</Characters>
  <Application>JUST Note</Application>
  <Lines>34</Lines>
  <Paragraphs>18</Paragraphs>
  <CharactersWithSpaces>642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M428admin</dc:creator>
  <cp:lastModifiedBy>安達　研斗</cp:lastModifiedBy>
  <dcterms:created xsi:type="dcterms:W3CDTF">2022-05-16T05:09:00Z</dcterms:created>
  <dcterms:modified xsi:type="dcterms:W3CDTF">2024-12-09T01:26:58Z</dcterms:modified>
  <cp:revision>13</cp:revision>
</cp:coreProperties>
</file>