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AC" w:rsidRDefault="000968AC" w:rsidP="00A05094">
      <w:pPr>
        <w:pStyle w:val="1"/>
        <w:ind w:left="0"/>
      </w:pPr>
    </w:p>
    <w:p w:rsidR="00A05094" w:rsidRDefault="00A05094" w:rsidP="00A05094">
      <w:pPr>
        <w:rPr>
          <w:rFonts w:eastAsiaTheme="minorEastAsia"/>
        </w:rPr>
      </w:pPr>
    </w:p>
    <w:p w:rsidR="00A05094" w:rsidRPr="00A05094" w:rsidRDefault="00A05094" w:rsidP="00A05094">
      <w:pPr>
        <w:jc w:val="center"/>
        <w:rPr>
          <w:rFonts w:eastAsiaTheme="minorEastAsia" w:hint="eastAsia"/>
          <w:b/>
          <w:sz w:val="32"/>
        </w:rPr>
      </w:pPr>
      <w:bookmarkStart w:id="0" w:name="_GoBack"/>
      <w:r w:rsidRPr="00A05094">
        <w:rPr>
          <w:rFonts w:eastAsiaTheme="minorEastAsia" w:hint="eastAsia"/>
          <w:b/>
          <w:sz w:val="32"/>
        </w:rPr>
        <w:t>認定就労訓練事業を行う事業者に関する税制上の措置について</w:t>
      </w:r>
    </w:p>
    <w:bookmarkEnd w:id="0"/>
    <w:p w:rsidR="007D4022" w:rsidRDefault="007D4022" w:rsidP="000968AC">
      <w:pPr>
        <w:rPr>
          <w:rFonts w:eastAsiaTheme="minorEastAsia"/>
        </w:rPr>
      </w:pPr>
    </w:p>
    <w:p w:rsidR="00A05094" w:rsidRDefault="00A05094" w:rsidP="000968AC">
      <w:pPr>
        <w:rPr>
          <w:rFonts w:eastAsiaTheme="minorEastAsia" w:hint="eastAsia"/>
        </w:rPr>
      </w:pPr>
    </w:p>
    <w:tbl>
      <w:tblPr>
        <w:tblStyle w:val="a3"/>
        <w:tblW w:w="0" w:type="auto"/>
        <w:jc w:val="center"/>
        <w:tblLook w:val="04A0" w:firstRow="1" w:lastRow="0" w:firstColumn="1" w:lastColumn="0" w:noHBand="0" w:noVBand="1"/>
      </w:tblPr>
      <w:tblGrid>
        <w:gridCol w:w="2122"/>
        <w:gridCol w:w="7177"/>
      </w:tblGrid>
      <w:tr w:rsidR="000968AC" w:rsidTr="005E23DE">
        <w:trPr>
          <w:trHeight w:val="692"/>
          <w:jc w:val="center"/>
        </w:trPr>
        <w:tc>
          <w:tcPr>
            <w:tcW w:w="2122" w:type="dxa"/>
            <w:vAlign w:val="center"/>
          </w:tcPr>
          <w:p w:rsidR="000968AC" w:rsidRPr="007D4022" w:rsidRDefault="000968AC" w:rsidP="007D4022">
            <w:pPr>
              <w:jc w:val="center"/>
              <w:rPr>
                <w:rFonts w:ascii="ＭＳ 明朝" w:eastAsia="ＭＳ 明朝" w:hAnsi="ＭＳ 明朝"/>
                <w:sz w:val="24"/>
              </w:rPr>
            </w:pPr>
            <w:r w:rsidRPr="007D4022">
              <w:rPr>
                <w:rFonts w:ascii="ＭＳ 明朝" w:eastAsia="ＭＳ 明朝" w:hAnsi="ＭＳ 明朝" w:hint="eastAsia"/>
                <w:sz w:val="24"/>
              </w:rPr>
              <w:t>税</w:t>
            </w:r>
            <w:r w:rsidRPr="007D4022">
              <w:rPr>
                <w:rFonts w:ascii="ＭＳ 明朝" w:eastAsia="ＭＳ 明朝" w:hAnsi="ＭＳ 明朝"/>
                <w:sz w:val="24"/>
              </w:rPr>
              <w:t xml:space="preserve"> </w:t>
            </w:r>
            <w:r w:rsidRPr="007D4022">
              <w:rPr>
                <w:rFonts w:ascii="ＭＳ 明朝" w:eastAsia="ＭＳ 明朝" w:hAnsi="ＭＳ 明朝" w:hint="eastAsia"/>
                <w:sz w:val="24"/>
              </w:rPr>
              <w:t>目</w:t>
            </w:r>
          </w:p>
        </w:tc>
        <w:tc>
          <w:tcPr>
            <w:tcW w:w="7177" w:type="dxa"/>
            <w:vAlign w:val="center"/>
          </w:tcPr>
          <w:p w:rsidR="000968AC" w:rsidRPr="007D4022" w:rsidRDefault="000968AC" w:rsidP="007D4022">
            <w:pPr>
              <w:jc w:val="center"/>
              <w:rPr>
                <w:rFonts w:ascii="ＭＳ 明朝" w:eastAsia="ＭＳ 明朝" w:hAnsi="ＭＳ 明朝"/>
                <w:sz w:val="24"/>
              </w:rPr>
            </w:pPr>
            <w:r w:rsidRPr="007D4022">
              <w:rPr>
                <w:rFonts w:ascii="ＭＳ 明朝" w:eastAsia="ＭＳ 明朝" w:hAnsi="ＭＳ 明朝" w:hint="eastAsia"/>
                <w:sz w:val="24"/>
              </w:rPr>
              <w:t>平成</w:t>
            </w:r>
            <w:r w:rsidRPr="007D4022">
              <w:rPr>
                <w:rFonts w:ascii="ＭＳ 明朝" w:eastAsia="ＭＳ 明朝" w:hAnsi="ＭＳ 明朝"/>
                <w:sz w:val="24"/>
              </w:rPr>
              <w:t>27</w:t>
            </w:r>
            <w:r w:rsidRPr="007D4022">
              <w:rPr>
                <w:rFonts w:ascii="ＭＳ 明朝" w:eastAsia="ＭＳ 明朝" w:hAnsi="ＭＳ 明朝" w:hint="eastAsia"/>
                <w:sz w:val="24"/>
              </w:rPr>
              <w:t>年度税制改正内容</w:t>
            </w:r>
          </w:p>
        </w:tc>
      </w:tr>
      <w:tr w:rsidR="000968AC" w:rsidTr="005E23DE">
        <w:trPr>
          <w:trHeight w:val="1464"/>
          <w:jc w:val="center"/>
        </w:trPr>
        <w:tc>
          <w:tcPr>
            <w:tcW w:w="2122" w:type="dxa"/>
            <w:vAlign w:val="center"/>
          </w:tcPr>
          <w:p w:rsidR="007D4022" w:rsidRDefault="007D4022" w:rsidP="007D4022">
            <w:pPr>
              <w:jc w:val="center"/>
              <w:rPr>
                <w:rFonts w:ascii="ＭＳ 明朝" w:eastAsia="ＭＳ 明朝" w:hAnsi="ＭＳ 明朝"/>
                <w:sz w:val="24"/>
              </w:rPr>
            </w:pPr>
            <w:r>
              <w:rPr>
                <w:rFonts w:ascii="ＭＳ 明朝" w:eastAsia="ＭＳ 明朝" w:hAnsi="ＭＳ 明朝" w:hint="eastAsia"/>
                <w:sz w:val="24"/>
              </w:rPr>
              <w:t>固定資産税</w:t>
            </w:r>
          </w:p>
          <w:p w:rsidR="000968AC" w:rsidRPr="007D4022" w:rsidRDefault="000968AC" w:rsidP="007D4022">
            <w:pPr>
              <w:jc w:val="center"/>
              <w:rPr>
                <w:rFonts w:ascii="ＭＳ 明朝" w:eastAsia="ＭＳ 明朝" w:hAnsi="ＭＳ 明朝"/>
                <w:sz w:val="24"/>
              </w:rPr>
            </w:pPr>
            <w:r w:rsidRPr="007D4022">
              <w:rPr>
                <w:rFonts w:ascii="ＭＳ 明朝" w:eastAsia="ＭＳ 明朝" w:hAnsi="ＭＳ 明朝" w:hint="eastAsia"/>
                <w:sz w:val="24"/>
              </w:rPr>
              <w:t>都市計画税</w:t>
            </w:r>
          </w:p>
        </w:tc>
        <w:tc>
          <w:tcPr>
            <w:tcW w:w="7177" w:type="dxa"/>
            <w:vAlign w:val="center"/>
          </w:tcPr>
          <w:p w:rsidR="000968AC" w:rsidRPr="007D4022" w:rsidRDefault="000968AC" w:rsidP="007D4022">
            <w:pPr>
              <w:ind w:firstLineChars="100" w:firstLine="240"/>
              <w:rPr>
                <w:rFonts w:ascii="ＭＳ 明朝" w:eastAsia="ＭＳ 明朝" w:hAnsi="ＭＳ 明朝"/>
                <w:sz w:val="24"/>
              </w:rPr>
            </w:pPr>
            <w:r w:rsidRPr="007D4022">
              <w:rPr>
                <w:rFonts w:ascii="ＭＳ 明朝" w:eastAsia="ＭＳ 明朝" w:hAnsi="ＭＳ 明朝" w:hint="eastAsia"/>
                <w:sz w:val="24"/>
              </w:rPr>
              <w:t>社会福祉法人等が認定生活困窮者就労訓練事業の用に直接供する固定資産に係る固定資産税及び都市計画税について、課税標準を価格の２分の１とする措置を講ずる。</w:t>
            </w:r>
          </w:p>
        </w:tc>
      </w:tr>
      <w:tr w:rsidR="000968AC" w:rsidTr="005E23DE">
        <w:trPr>
          <w:trHeight w:val="1424"/>
          <w:jc w:val="center"/>
        </w:trPr>
        <w:tc>
          <w:tcPr>
            <w:tcW w:w="2122" w:type="dxa"/>
            <w:vAlign w:val="center"/>
          </w:tcPr>
          <w:p w:rsidR="007D4022" w:rsidRDefault="007D4022" w:rsidP="007D4022">
            <w:pPr>
              <w:jc w:val="center"/>
              <w:rPr>
                <w:rFonts w:ascii="ＭＳ 明朝" w:eastAsia="ＭＳ 明朝" w:hAnsi="ＭＳ 明朝"/>
                <w:sz w:val="24"/>
              </w:rPr>
            </w:pPr>
          </w:p>
          <w:p w:rsidR="000968AC" w:rsidRPr="007D4022" w:rsidRDefault="000968AC" w:rsidP="007D4022">
            <w:pPr>
              <w:jc w:val="center"/>
              <w:rPr>
                <w:rFonts w:ascii="ＭＳ 明朝" w:eastAsia="ＭＳ 明朝" w:hAnsi="ＭＳ 明朝"/>
                <w:sz w:val="24"/>
              </w:rPr>
            </w:pPr>
            <w:r w:rsidRPr="007D4022">
              <w:rPr>
                <w:rFonts w:ascii="ＭＳ 明朝" w:eastAsia="ＭＳ 明朝" w:hAnsi="ＭＳ 明朝" w:hint="eastAsia"/>
                <w:sz w:val="24"/>
              </w:rPr>
              <w:t>不動産取得税</w:t>
            </w:r>
          </w:p>
        </w:tc>
        <w:tc>
          <w:tcPr>
            <w:tcW w:w="7177" w:type="dxa"/>
            <w:vAlign w:val="center"/>
          </w:tcPr>
          <w:p w:rsidR="000968AC" w:rsidRPr="007D4022" w:rsidRDefault="007D4022" w:rsidP="007D4022">
            <w:pPr>
              <w:ind w:firstLineChars="100" w:firstLine="240"/>
              <w:rPr>
                <w:rFonts w:ascii="ＭＳ 明朝" w:eastAsia="ＭＳ 明朝" w:hAnsi="ＭＳ 明朝"/>
                <w:sz w:val="24"/>
              </w:rPr>
            </w:pPr>
            <w:r w:rsidRPr="007D4022">
              <w:rPr>
                <w:rFonts w:ascii="ＭＳ 明朝" w:eastAsia="ＭＳ 明朝" w:hAnsi="ＭＳ 明朝" w:hint="eastAsia"/>
                <w:sz w:val="24"/>
              </w:rPr>
              <w:t>社会福祉法人等が認定生活困窮者就労訓練事業のように直接供する不動産に係る不動産取得税について、課税標準</w:t>
            </w:r>
            <w:r w:rsidR="000968AC" w:rsidRPr="007D4022">
              <w:rPr>
                <w:rFonts w:ascii="ＭＳ 明朝" w:eastAsia="ＭＳ 明朝" w:hAnsi="ＭＳ 明朝" w:hint="eastAsia"/>
                <w:sz w:val="24"/>
              </w:rPr>
              <w:t>を価格の２分の１とする措置を講ずる。</w:t>
            </w:r>
          </w:p>
        </w:tc>
      </w:tr>
      <w:tr w:rsidR="000968AC" w:rsidRPr="007D4022" w:rsidTr="005E23DE">
        <w:trPr>
          <w:trHeight w:val="1087"/>
          <w:jc w:val="center"/>
        </w:trPr>
        <w:tc>
          <w:tcPr>
            <w:tcW w:w="2122" w:type="dxa"/>
            <w:vAlign w:val="center"/>
          </w:tcPr>
          <w:p w:rsidR="000968AC" w:rsidRPr="007D4022" w:rsidRDefault="000968AC" w:rsidP="007D4022">
            <w:pPr>
              <w:jc w:val="center"/>
              <w:rPr>
                <w:rFonts w:ascii="ＭＳ 明朝" w:eastAsia="ＭＳ 明朝" w:hAnsi="ＭＳ 明朝"/>
                <w:sz w:val="24"/>
              </w:rPr>
            </w:pPr>
            <w:r w:rsidRPr="007D4022">
              <w:rPr>
                <w:rFonts w:ascii="ＭＳ 明朝" w:eastAsia="ＭＳ 明朝" w:hAnsi="ＭＳ 明朝" w:hint="eastAsia"/>
                <w:sz w:val="24"/>
              </w:rPr>
              <w:t>事業所税</w:t>
            </w:r>
          </w:p>
        </w:tc>
        <w:tc>
          <w:tcPr>
            <w:tcW w:w="7177" w:type="dxa"/>
            <w:vAlign w:val="center"/>
          </w:tcPr>
          <w:p w:rsidR="000968AC" w:rsidRPr="007D4022" w:rsidRDefault="000968AC" w:rsidP="007D4022">
            <w:pPr>
              <w:ind w:firstLineChars="100" w:firstLine="240"/>
              <w:rPr>
                <w:rFonts w:ascii="ＭＳ 明朝" w:eastAsia="ＭＳ 明朝" w:hAnsi="ＭＳ 明朝"/>
                <w:sz w:val="24"/>
              </w:rPr>
            </w:pPr>
            <w:r w:rsidRPr="007D4022">
              <w:rPr>
                <w:rFonts w:ascii="ＭＳ 明朝" w:eastAsia="ＭＳ 明朝" w:hAnsi="ＭＳ 明朝" w:hint="eastAsia"/>
                <w:sz w:val="24"/>
              </w:rPr>
              <w:t>認定生活困窮者就労訓練事業の用に供する施設に係る事業所税について、非課税とする措置を講ずる。</w:t>
            </w:r>
          </w:p>
        </w:tc>
      </w:tr>
      <w:tr w:rsidR="000968AC" w:rsidTr="005E23DE">
        <w:trPr>
          <w:trHeight w:val="1808"/>
          <w:jc w:val="center"/>
        </w:trPr>
        <w:tc>
          <w:tcPr>
            <w:tcW w:w="2122" w:type="dxa"/>
            <w:vAlign w:val="center"/>
          </w:tcPr>
          <w:p w:rsidR="007D4022" w:rsidRDefault="007D4022" w:rsidP="007D4022">
            <w:pPr>
              <w:jc w:val="center"/>
              <w:rPr>
                <w:rFonts w:ascii="ＭＳ 明朝" w:eastAsia="ＭＳ 明朝" w:hAnsi="ＭＳ 明朝"/>
                <w:sz w:val="24"/>
              </w:rPr>
            </w:pPr>
          </w:p>
          <w:p w:rsidR="000968AC" w:rsidRPr="007D4022" w:rsidRDefault="000968AC" w:rsidP="007D4022">
            <w:pPr>
              <w:jc w:val="center"/>
              <w:rPr>
                <w:rFonts w:ascii="ＭＳ 明朝" w:eastAsia="ＭＳ 明朝" w:hAnsi="ＭＳ 明朝"/>
                <w:sz w:val="24"/>
              </w:rPr>
            </w:pPr>
            <w:r w:rsidRPr="007D4022">
              <w:rPr>
                <w:rFonts w:ascii="ＭＳ 明朝" w:eastAsia="ＭＳ 明朝" w:hAnsi="ＭＳ 明朝" w:hint="eastAsia"/>
                <w:sz w:val="24"/>
              </w:rPr>
              <w:t>登録免許税</w:t>
            </w:r>
          </w:p>
        </w:tc>
        <w:tc>
          <w:tcPr>
            <w:tcW w:w="7177" w:type="dxa"/>
            <w:vAlign w:val="center"/>
          </w:tcPr>
          <w:p w:rsidR="000968AC" w:rsidRPr="007D4022" w:rsidRDefault="000968AC" w:rsidP="007D4022">
            <w:pPr>
              <w:ind w:firstLineChars="100" w:firstLine="240"/>
              <w:rPr>
                <w:rFonts w:ascii="ＭＳ 明朝" w:eastAsia="ＭＳ 明朝" w:hAnsi="ＭＳ 明朝"/>
                <w:sz w:val="24"/>
              </w:rPr>
            </w:pPr>
            <w:r w:rsidRPr="007D4022">
              <w:rPr>
                <w:rFonts w:ascii="ＭＳ 明朝" w:eastAsia="ＭＳ 明朝" w:hAnsi="ＭＳ 明朝" w:hint="eastAsia"/>
                <w:sz w:val="24"/>
              </w:rPr>
              <w:t>認定生活困窮者就労訓練事業について、社会福祉法人が社会福祉事業の用に供するために取得する不動産に係る所有権の移転登記等に対する登録免許税の非課税措置（登録免許税法別表第三）を適用する。</w:t>
            </w:r>
          </w:p>
        </w:tc>
      </w:tr>
      <w:tr w:rsidR="000968AC" w:rsidTr="005E23DE">
        <w:trPr>
          <w:trHeight w:val="1574"/>
          <w:jc w:val="center"/>
        </w:trPr>
        <w:tc>
          <w:tcPr>
            <w:tcW w:w="2122" w:type="dxa"/>
            <w:vAlign w:val="center"/>
          </w:tcPr>
          <w:p w:rsidR="007D4022" w:rsidRDefault="007D4022" w:rsidP="007D4022">
            <w:pPr>
              <w:jc w:val="center"/>
              <w:rPr>
                <w:rFonts w:ascii="ＭＳ 明朝" w:eastAsia="ＭＳ 明朝" w:hAnsi="ＭＳ 明朝"/>
                <w:sz w:val="24"/>
              </w:rPr>
            </w:pPr>
          </w:p>
          <w:p w:rsidR="000968AC" w:rsidRPr="007D4022" w:rsidRDefault="000968AC" w:rsidP="007D4022">
            <w:pPr>
              <w:jc w:val="center"/>
              <w:rPr>
                <w:rFonts w:ascii="ＭＳ 明朝" w:eastAsia="ＭＳ 明朝" w:hAnsi="ＭＳ 明朝"/>
                <w:sz w:val="24"/>
              </w:rPr>
            </w:pPr>
            <w:r w:rsidRPr="007D4022">
              <w:rPr>
                <w:rFonts w:ascii="ＭＳ 明朝" w:eastAsia="ＭＳ 明朝" w:hAnsi="ＭＳ 明朝" w:hint="eastAsia"/>
                <w:sz w:val="24"/>
              </w:rPr>
              <w:t>消費税</w:t>
            </w:r>
          </w:p>
        </w:tc>
        <w:tc>
          <w:tcPr>
            <w:tcW w:w="7177" w:type="dxa"/>
            <w:vAlign w:val="center"/>
          </w:tcPr>
          <w:p w:rsidR="000968AC" w:rsidRPr="007D4022" w:rsidRDefault="000968AC" w:rsidP="007D4022">
            <w:pPr>
              <w:ind w:firstLineChars="100" w:firstLine="240"/>
              <w:rPr>
                <w:rFonts w:ascii="ＭＳ 明朝" w:eastAsia="ＭＳ 明朝" w:hAnsi="ＭＳ 明朝"/>
                <w:sz w:val="24"/>
              </w:rPr>
            </w:pPr>
            <w:r w:rsidRPr="007D4022">
              <w:rPr>
                <w:rFonts w:ascii="ＭＳ 明朝" w:eastAsia="ＭＳ 明朝" w:hAnsi="ＭＳ 明朝" w:hint="eastAsia"/>
                <w:sz w:val="24"/>
              </w:rPr>
              <w:t>消費税が非課税とされる社会福祉事業等の範囲から、生活困窮者自立支援法に基づく認定生活困窮者就労訓練事業のうち生産活動としての作業に基づき行われる資産の譲渡等を除外する。</w:t>
            </w:r>
          </w:p>
        </w:tc>
      </w:tr>
    </w:tbl>
    <w:p w:rsidR="000968AC" w:rsidRPr="000968AC" w:rsidRDefault="000968AC" w:rsidP="000968AC">
      <w:pPr>
        <w:rPr>
          <w:rFonts w:eastAsiaTheme="minorEastAsia"/>
        </w:rPr>
      </w:pPr>
    </w:p>
    <w:p w:rsidR="00FF07AD" w:rsidRPr="005E23DE" w:rsidRDefault="005E23DE" w:rsidP="005E23DE">
      <w:pPr>
        <w:spacing w:after="0" w:line="276" w:lineRule="auto"/>
        <w:ind w:left="194" w:hanging="209"/>
        <w:rPr>
          <w:sz w:val="28"/>
        </w:rPr>
      </w:pPr>
      <w:r w:rsidRPr="005E23DE">
        <w:rPr>
          <w:rFonts w:ascii="ＭＳ 明朝" w:eastAsia="ＭＳ 明朝" w:hAnsi="ＭＳ 明朝" w:cs="ＭＳ 明朝"/>
        </w:rPr>
        <w:t>※ 固定資産税、都市計画税、不動産取得税に関する措置の対象となる「社会福祉法人等」の範囲は、他の社会福祉事業と同様、社会福祉法人、消費生活協同組合等である。</w:t>
      </w:r>
    </w:p>
    <w:p w:rsidR="00FF07AD" w:rsidRPr="005E23DE" w:rsidRDefault="005E23DE" w:rsidP="005E23DE">
      <w:pPr>
        <w:spacing w:after="330" w:line="276" w:lineRule="auto"/>
        <w:ind w:left="194" w:hanging="209"/>
        <w:rPr>
          <w:sz w:val="28"/>
        </w:rPr>
      </w:pPr>
      <w:r w:rsidRPr="005E23DE">
        <w:rPr>
          <w:rFonts w:ascii="ＭＳ 明朝" w:eastAsia="ＭＳ 明朝" w:hAnsi="ＭＳ 明朝" w:cs="ＭＳ 明朝"/>
        </w:rPr>
        <w:t>※ 認定就労訓練事業では、商品を製造・販売する場合等があることから、障害者就労継続支援事業の例も踏まえ、消費税を課税。</w:t>
      </w:r>
    </w:p>
    <w:sectPr w:rsidR="00FF07AD" w:rsidRPr="005E23DE" w:rsidSect="005E23DE">
      <w:pgSz w:w="11906" w:h="16838"/>
      <w:pgMar w:top="708" w:right="1178" w:bottom="175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45C62"/>
    <w:multiLevelType w:val="hybridMultilevel"/>
    <w:tmpl w:val="AA7E4398"/>
    <w:lvl w:ilvl="0" w:tplc="7044688C">
      <w:start w:val="3"/>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8E147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1C159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1493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E74CED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4CAC01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3E2F1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9B4220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25258C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AD"/>
    <w:rsid w:val="000968AC"/>
    <w:rsid w:val="005E23DE"/>
    <w:rsid w:val="007D4022"/>
    <w:rsid w:val="00A05094"/>
    <w:rsid w:val="00FF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ECCC25"/>
  <w15:docId w15:val="{F27343DE-E3F7-4599-BD81-6A9E2C11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67" w:line="259" w:lineRule="auto"/>
      <w:ind w:left="598"/>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09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23DE"/>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23D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B007-6B52-4A87-8E2C-10F90FDC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M501001</cp:lastModifiedBy>
  <cp:revision>3</cp:revision>
  <cp:lastPrinted>2022-03-14T08:23:00Z</cp:lastPrinted>
  <dcterms:created xsi:type="dcterms:W3CDTF">2022-03-14T08:23:00Z</dcterms:created>
  <dcterms:modified xsi:type="dcterms:W3CDTF">2022-03-14T08:35:00Z</dcterms:modified>
</cp:coreProperties>
</file>