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発電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設備工事</w:t>
      </w:r>
      <w:r>
        <w:rPr>
          <w:rFonts w:hint="eastAsia" w:ascii="ＭＳ 明朝" w:hAnsi="ＭＳ 明朝" w:eastAsia="ＭＳ 明朝"/>
          <w:sz w:val="22"/>
        </w:rPr>
        <w:t>再開届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条の規定により、次のとおり届け出ます。</w:t>
      </w:r>
    </w:p>
    <w:p>
      <w:pPr>
        <w:pStyle w:val="0"/>
        <w:tabs>
          <w:tab w:val="left" w:leader="none" w:pos="567"/>
        </w:tabs>
        <w:spacing w:line="300" w:lineRule="exact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864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93"/>
        <w:gridCol w:w="1984"/>
        <w:gridCol w:w="5664"/>
      </w:tblGrid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第　　　　　　　　　号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工事再開年月日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工事完了予定年月日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施工者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現場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管理者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添付書類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1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配置図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2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現況写真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3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2</Pages>
  <Words>7</Words>
  <Characters>278</Characters>
  <Application>JUST Note</Application>
  <Lines>147</Lines>
  <Paragraphs>39</Paragraphs>
  <CharactersWithSpaces>358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2025-07-16T04:12:28Z</dcterms:modified>
  <cp:revision>37</cp:revision>
</cp:coreProperties>
</file>