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default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発電設備工事完了届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条の規定により、次のとおり届け出ます。</w:t>
      </w:r>
    </w:p>
    <w:p>
      <w:pPr>
        <w:pStyle w:val="0"/>
        <w:tabs>
          <w:tab w:val="left" w:leader="none" w:pos="567"/>
        </w:tabs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19"/>
        <w:gridCol w:w="5522"/>
      </w:tblGrid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工事着手年月日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工事完了年月日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311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発電設備運転開始予定年月日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添付書類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1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配置図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2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現況写真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3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7</Words>
  <Characters>250</Characters>
  <Application>JUST Note</Application>
  <Lines>41</Lines>
  <Paragraphs>31</Paragraphs>
  <CharactersWithSpaces>350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2025-07-16T04:12:52Z</dcterms:modified>
  <cp:revision>32</cp:revision>
</cp:coreProperties>
</file>